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57" w:rsidRDefault="00420457">
      <w:bookmarkStart w:id="0" w:name="_GoBack"/>
      <w:bookmarkEnd w:id="0"/>
    </w:p>
    <w:p w:rsidR="00CA474E" w:rsidRDefault="00CA474E" w:rsidP="00CA474E">
      <w:pPr>
        <w:jc w:val="center"/>
      </w:pPr>
      <w:r w:rsidRPr="00412C23">
        <w:rPr>
          <w:noProof/>
        </w:rPr>
        <w:drawing>
          <wp:inline distT="0" distB="0" distL="0" distR="0" wp14:anchorId="367B77BC" wp14:editId="39AD26D6">
            <wp:extent cx="2545080" cy="431165"/>
            <wp:effectExtent l="0" t="0" r="7620" b="6985"/>
            <wp:docPr id="2" name="Bilde 2" descr="Hiof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of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57" w:rsidRDefault="00420457" w:rsidP="00E57107">
      <w:pPr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420457" w:rsidTr="001F4AC0">
        <w:trPr>
          <w:trHeight w:val="34"/>
        </w:trPr>
        <w:tc>
          <w:tcPr>
            <w:tcW w:w="10180" w:type="dxa"/>
          </w:tcPr>
          <w:p w:rsidR="00EE25F0" w:rsidRDefault="00EE25F0" w:rsidP="001F4AC0">
            <w:pPr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420457" w:rsidRPr="00F527EE" w:rsidRDefault="0042045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Konkurransestrategi</w:t>
      </w:r>
      <w:r w:rsidR="00420457">
        <w:rPr>
          <w:rFonts w:ascii="Arial" w:hAnsi="Arial"/>
          <w:b/>
          <w:caps/>
          <w:kern w:val="28"/>
          <w:sz w:val="32"/>
        </w:rPr>
        <w:t xml:space="preserve"> for</w:t>
      </w:r>
    </w:p>
    <w:p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Anskaffelse av&lt; ….</w:t>
      </w:r>
      <w:r w:rsidR="00420457">
        <w:rPr>
          <w:rFonts w:ascii="Arial" w:hAnsi="Arial"/>
          <w:b/>
          <w:caps/>
          <w:kern w:val="28"/>
          <w:sz w:val="32"/>
        </w:rPr>
        <w:t>&gt;</w:t>
      </w:r>
    </w:p>
    <w:p w:rsidR="00420457" w:rsidRPr="00846B76" w:rsidRDefault="00420457" w:rsidP="00420457">
      <w:pPr>
        <w:jc w:val="center"/>
        <w:rPr>
          <w:rFonts w:ascii="Arial" w:hAnsi="Arial"/>
          <w:b/>
          <w:caps/>
          <w:kern w:val="28"/>
          <w:sz w:val="32"/>
        </w:rPr>
      </w:pPr>
    </w:p>
    <w:p w:rsidR="00420457" w:rsidRPr="00846B76" w:rsidRDefault="00420457" w:rsidP="00420457">
      <w:pPr>
        <w:rPr>
          <w:rFonts w:ascii="Arial" w:hAnsi="Arial"/>
          <w:b/>
          <w:caps/>
          <w:kern w:val="28"/>
          <w:sz w:val="32"/>
        </w:rPr>
      </w:pPr>
    </w:p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BC2692" w:rsidRDefault="00BC2692" w:rsidP="00420457"/>
    <w:p w:rsidR="00CD16F3" w:rsidRDefault="00CD16F3" w:rsidP="00CD16F3">
      <w:pPr>
        <w:pStyle w:val="Undertittel"/>
        <w:rPr>
          <w:sz w:val="24"/>
          <w:szCs w:val="24"/>
        </w:rPr>
      </w:pPr>
    </w:p>
    <w:p w:rsidR="0011012D" w:rsidRPr="006D48C0" w:rsidRDefault="0011012D" w:rsidP="0011012D"/>
    <w:p w:rsidR="0011012D" w:rsidRDefault="0011012D" w:rsidP="0011012D">
      <w:pPr>
        <w:rPr>
          <w:i/>
          <w:iCs/>
        </w:rPr>
      </w:pPr>
      <w:r w:rsidRPr="00C61F7B">
        <w:rPr>
          <w:i/>
          <w:iCs/>
        </w:rPr>
        <w:t xml:space="preserve">Denne fylles ut ved behandling. </w:t>
      </w:r>
    </w:p>
    <w:p w:rsidR="0011012D" w:rsidRPr="00C61F7B" w:rsidRDefault="0011012D" w:rsidP="0011012D">
      <w:pPr>
        <w:rPr>
          <w:i/>
          <w:i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3796"/>
      </w:tblGrid>
      <w:tr w:rsidR="0011012D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F670B" w:rsidP="00790F6A">
            <w:pPr>
              <w:spacing w:before="6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Saks</w:t>
            </w:r>
            <w:r w:rsidR="0011012D">
              <w:rPr>
                <w:b/>
                <w:color w:val="000000"/>
                <w:sz w:val="20"/>
              </w:rPr>
              <w:t>nummer</w:t>
            </w:r>
            <w:r>
              <w:rPr>
                <w:b/>
                <w:color w:val="000000"/>
                <w:sz w:val="20"/>
              </w:rPr>
              <w:br/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:rsidTr="001F4AC0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F94B93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="0011012D" w:rsidRPr="000B0BC1">
              <w:rPr>
                <w:b/>
                <w:color w:val="000000"/>
                <w:sz w:val="20"/>
              </w:rPr>
              <w:t xml:space="preserve"> 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F94B93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="0011012D" w:rsidRPr="000B0BC1">
              <w:rPr>
                <w:b/>
                <w:color w:val="000000"/>
                <w:sz w:val="20"/>
              </w:rPr>
              <w:t xml:space="preserve"> av: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 </w:t>
            </w:r>
            <w:r w:rsidRPr="009227DF">
              <w:rPr>
                <w:b/>
                <w:color w:val="000000"/>
                <w:sz w:val="20"/>
              </w:rPr>
              <w:t>Utarbeidet av</w:t>
            </w:r>
          </w:p>
        </w:tc>
      </w:tr>
      <w:tr w:rsidR="0011012D" w:rsidRPr="000B0BC1" w:rsidTr="001F4AC0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Default="0011012D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&lt;navn</w:t>
            </w:r>
            <w:r w:rsidRPr="000B0BC1">
              <w:rPr>
                <w:color w:val="000000"/>
                <w:sz w:val="20"/>
              </w:rPr>
              <w:t>&gt;</w:t>
            </w:r>
          </w:p>
          <w:p w:rsidR="001F670B" w:rsidRPr="000B0BC1" w:rsidRDefault="00792374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&lt;fun</w:t>
            </w:r>
            <w:r w:rsidR="001F670B">
              <w:rPr>
                <w:color w:val="000000"/>
                <w:sz w:val="20"/>
              </w:rPr>
              <w:t>ksjon</w:t>
            </w:r>
            <w:r w:rsidR="00971E9F">
              <w:rPr>
                <w:color w:val="000000"/>
                <w:sz w:val="20"/>
              </w:rPr>
              <w:t>/fullmakt</w:t>
            </w:r>
            <w:r w:rsidR="001F670B">
              <w:rPr>
                <w:color w:val="000000"/>
                <w:sz w:val="20"/>
              </w:rPr>
              <w:t>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&lt;navn</w:t>
            </w:r>
            <w:r w:rsidRPr="000B0BC1">
              <w:rPr>
                <w:color w:val="000000"/>
                <w:sz w:val="20"/>
              </w:rPr>
              <w:t>&gt;</w:t>
            </w:r>
          </w:p>
        </w:tc>
      </w:tr>
      <w:tr w:rsidR="0011012D" w:rsidRPr="000B0BC1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  <w:r w:rsidRPr="000B0BC1">
              <w:rPr>
                <w:b/>
                <w:color w:val="000000"/>
                <w:sz w:val="20"/>
              </w:rPr>
              <w:t xml:space="preserve">Beslutning: </w:t>
            </w:r>
          </w:p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  </w:t>
            </w:r>
          </w:p>
        </w:tc>
      </w:tr>
      <w:tr w:rsidR="0011012D" w:rsidRPr="000B0BC1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Default="0011012D" w:rsidP="001F4AC0">
            <w:pPr>
              <w:spacing w:before="60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&lt;Avsluttes/starte </w:t>
            </w:r>
            <w:r>
              <w:rPr>
                <w:color w:val="000000"/>
                <w:sz w:val="20"/>
              </w:rPr>
              <w:t>gjennomføring</w:t>
            </w:r>
            <w:r w:rsidRPr="000B0BC1">
              <w:rPr>
                <w:color w:val="000000"/>
                <w:sz w:val="20"/>
              </w:rPr>
              <w:t xml:space="preserve">/ </w:t>
            </w:r>
            <w:r>
              <w:rPr>
                <w:color w:val="000000"/>
                <w:sz w:val="20"/>
              </w:rPr>
              <w:t>øvrige vurderinger må gjøres&gt;</w:t>
            </w:r>
            <w:r w:rsidRPr="000B0BC1">
              <w:rPr>
                <w:color w:val="000000"/>
                <w:sz w:val="20"/>
              </w:rPr>
              <w:t xml:space="preserve"> </w:t>
            </w:r>
          </w:p>
          <w:p w:rsidR="001F670B" w:rsidRPr="001F670B" w:rsidRDefault="001F670B" w:rsidP="001F4AC0">
            <w:pPr>
              <w:spacing w:before="60"/>
              <w:rPr>
                <w:color w:val="7F7F7F" w:themeColor="text1" w:themeTint="80"/>
                <w:sz w:val="20"/>
              </w:rPr>
            </w:pPr>
            <w:r w:rsidRPr="001F670B">
              <w:rPr>
                <w:color w:val="7F7F7F" w:themeColor="text1" w:themeTint="80"/>
                <w:sz w:val="20"/>
              </w:rPr>
              <w:t>Eks: Konkurransestrategien er godkjent</w:t>
            </w:r>
          </w:p>
          <w:p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</w:p>
        </w:tc>
      </w:tr>
    </w:tbl>
    <w:p w:rsidR="0011012D" w:rsidRDefault="0011012D" w:rsidP="0011012D">
      <w:pPr>
        <w:rPr>
          <w:rFonts w:eastAsia="Arial Unicode MS"/>
          <w:lang w:eastAsia="da-DK"/>
        </w:rPr>
      </w:pPr>
    </w:p>
    <w:p w:rsidR="001F670B" w:rsidRDefault="001F670B">
      <w:p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br w:type="page"/>
      </w:r>
    </w:p>
    <w:p w:rsidR="009C3AD5" w:rsidRDefault="009C3AD5" w:rsidP="0011012D">
      <w:pPr>
        <w:rPr>
          <w:rFonts w:eastAsia="Arial Unicode MS"/>
          <w:lang w:eastAsia="da-DK"/>
        </w:rPr>
      </w:pPr>
    </w:p>
    <w:p w:rsidR="009C3AD5" w:rsidRDefault="009C3AD5" w:rsidP="0011012D">
      <w:pPr>
        <w:rPr>
          <w:rFonts w:eastAsia="Arial Unicode MS"/>
          <w:lang w:eastAsia="da-DK"/>
        </w:rPr>
      </w:pPr>
    </w:p>
    <w:p w:rsidR="002747D4" w:rsidRDefault="002747D4" w:rsidP="004B229D">
      <w:pPr>
        <w:pStyle w:val="Overskrift1"/>
        <w:spacing w:before="60" w:after="120"/>
        <w:ind w:left="709" w:hanging="709"/>
      </w:pPr>
      <w:r>
        <w:t>Beslutningsgrunnlag</w:t>
      </w:r>
    </w:p>
    <w:p w:rsidR="006F31D4" w:rsidRDefault="006F31D4" w:rsidP="006F31D4">
      <w:pPr>
        <w:rPr>
          <w:rFonts w:eastAsia="Arial Unicode MS"/>
          <w:color w:val="7F7F7F" w:themeColor="text1" w:themeTint="80"/>
          <w:lang w:eastAsia="da-DK"/>
        </w:rPr>
      </w:pPr>
      <w:r w:rsidRPr="006F31D4">
        <w:rPr>
          <w:rFonts w:eastAsia="Arial Unicode MS"/>
          <w:color w:val="7F7F7F" w:themeColor="text1" w:themeTint="80"/>
          <w:lang w:eastAsia="da-DK"/>
        </w:rPr>
        <w:t xml:space="preserve">[Dokumentene som konklusjonene </w:t>
      </w:r>
      <w:r>
        <w:rPr>
          <w:rFonts w:eastAsia="Arial Unicode MS"/>
          <w:color w:val="7F7F7F" w:themeColor="text1" w:themeTint="80"/>
          <w:lang w:eastAsia="da-DK"/>
        </w:rPr>
        <w:t xml:space="preserve">i beslutningsgrunnlaget </w:t>
      </w:r>
      <w:r w:rsidRPr="006F31D4">
        <w:rPr>
          <w:rFonts w:eastAsia="Arial Unicode MS"/>
          <w:color w:val="7F7F7F" w:themeColor="text1" w:themeTint="80"/>
          <w:lang w:eastAsia="da-DK"/>
        </w:rPr>
        <w:t>er henter fra ligger som vedlegg 1-5]</w:t>
      </w:r>
    </w:p>
    <w:p w:rsidR="006F31D4" w:rsidRPr="006F31D4" w:rsidRDefault="006F31D4" w:rsidP="006F31D4">
      <w:pPr>
        <w:rPr>
          <w:rFonts w:eastAsia="Arial Unicode MS"/>
          <w:color w:val="7F7F7F" w:themeColor="text1" w:themeTint="80"/>
          <w:lang w:eastAsia="da-DK"/>
        </w:rPr>
      </w:pPr>
    </w:p>
    <w:p w:rsidR="002747D4" w:rsidRDefault="002747D4" w:rsidP="002747D4">
      <w:pPr>
        <w:pStyle w:val="Overskrift2"/>
        <w:rPr>
          <w:b w:val="0"/>
        </w:rPr>
      </w:pPr>
      <w:r>
        <w:rPr>
          <w:b w:val="0"/>
        </w:rPr>
        <w:t xml:space="preserve">Oppsummering og konklusjoner fra </w:t>
      </w:r>
      <w:r w:rsidR="00F94B93">
        <w:rPr>
          <w:b w:val="0"/>
        </w:rPr>
        <w:t>avklaring og mandat</w:t>
      </w:r>
    </w:p>
    <w:p w:rsidR="008B2041" w:rsidRPr="003350DF" w:rsidRDefault="008B2041" w:rsidP="008B2041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[Oppsummering hentes fra </w:t>
      </w:r>
      <w:r w:rsidR="001F04AF">
        <w:rPr>
          <w:rFonts w:eastAsia="Arial Unicode MS"/>
          <w:color w:val="7F7F7F" w:themeColor="text1" w:themeTint="80"/>
          <w:lang w:eastAsia="da-DK"/>
        </w:rPr>
        <w:t>Mandat for anskaffelsen</w:t>
      </w:r>
      <w:r>
        <w:rPr>
          <w:rFonts w:eastAsia="Arial Unicode MS"/>
          <w:color w:val="7F7F7F" w:themeColor="text1" w:themeTint="80"/>
          <w:lang w:eastAsia="da-DK"/>
        </w:rPr>
        <w:t xml:space="preserve">. Les mer om å </w:t>
      </w:r>
      <w:r w:rsidR="001F04AF">
        <w:rPr>
          <w:rFonts w:eastAsia="Arial Unicode MS"/>
          <w:color w:val="7F7F7F" w:themeColor="text1" w:themeTint="80"/>
          <w:lang w:eastAsia="da-DK"/>
        </w:rPr>
        <w:t xml:space="preserve">avklare anskaffelse </w:t>
      </w:r>
      <w:r>
        <w:rPr>
          <w:rFonts w:eastAsia="Arial Unicode MS"/>
          <w:color w:val="7F7F7F" w:themeColor="text1" w:themeTint="80"/>
          <w:lang w:eastAsia="da-DK"/>
        </w:rPr>
        <w:t xml:space="preserve">på </w:t>
      </w:r>
      <w:hyperlink r:id="rId9" w:history="1">
        <w:r w:rsidRPr="002C642D">
          <w:rPr>
            <w:rStyle w:val="Hyperkobling"/>
            <w:rFonts w:eastAsia="Arial Unicode MS"/>
            <w:lang w:eastAsia="da-DK"/>
          </w:rPr>
          <w:t>www.anskaffelser.no</w:t>
        </w:r>
      </w:hyperlink>
      <w:r>
        <w:rPr>
          <w:rFonts w:eastAsia="Arial Unicode MS"/>
          <w:color w:val="7F7F7F" w:themeColor="text1" w:themeTint="80"/>
          <w:lang w:eastAsia="da-DK"/>
        </w:rPr>
        <w:t xml:space="preserve"> ] </w:t>
      </w:r>
    </w:p>
    <w:p w:rsidR="002747D4" w:rsidRPr="002747D4" w:rsidRDefault="002747D4" w:rsidP="002747D4"/>
    <w:p w:rsidR="002747D4" w:rsidRDefault="002747D4" w:rsidP="002747D4">
      <w:pPr>
        <w:pStyle w:val="Overskrift2"/>
        <w:rPr>
          <w:b w:val="0"/>
        </w:rPr>
      </w:pPr>
      <w:r>
        <w:rPr>
          <w:b w:val="0"/>
        </w:rPr>
        <w:t xml:space="preserve">Oppsummering og konklusjoner fra </w:t>
      </w:r>
      <w:r w:rsidR="00F94B93">
        <w:rPr>
          <w:b w:val="0"/>
        </w:rPr>
        <w:t>behovskartleggingen</w:t>
      </w:r>
    </w:p>
    <w:p w:rsidR="001676C8" w:rsidRPr="003350DF" w:rsidRDefault="00F94B93" w:rsidP="001676C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</w:t>
      </w:r>
      <w:r w:rsidR="001676C8">
        <w:rPr>
          <w:rFonts w:eastAsia="Arial Unicode MS"/>
          <w:color w:val="7F7F7F" w:themeColor="text1" w:themeTint="80"/>
          <w:lang w:eastAsia="da-DK"/>
        </w:rPr>
        <w:t xml:space="preserve">Les mer om å gjennomføre </w:t>
      </w:r>
      <w:r>
        <w:rPr>
          <w:rFonts w:eastAsia="Arial Unicode MS"/>
          <w:color w:val="7F7F7F" w:themeColor="text1" w:themeTint="80"/>
          <w:lang w:eastAsia="da-DK"/>
        </w:rPr>
        <w:t>behovskartlegging</w:t>
      </w:r>
      <w:r w:rsidR="001676C8">
        <w:rPr>
          <w:rFonts w:eastAsia="Arial Unicode MS"/>
          <w:color w:val="7F7F7F" w:themeColor="text1" w:themeTint="80"/>
          <w:lang w:eastAsia="da-DK"/>
        </w:rPr>
        <w:t xml:space="preserve"> på </w:t>
      </w:r>
      <w:hyperlink r:id="rId10" w:history="1">
        <w:r w:rsidR="001676C8" w:rsidRPr="002C642D">
          <w:rPr>
            <w:rStyle w:val="Hyperkobling"/>
            <w:rFonts w:eastAsia="Arial Unicode MS"/>
            <w:lang w:eastAsia="da-DK"/>
          </w:rPr>
          <w:t>www.anskaffelser.no</w:t>
        </w:r>
      </w:hyperlink>
      <w:r w:rsidR="001676C8">
        <w:rPr>
          <w:rFonts w:eastAsia="Arial Unicode MS"/>
          <w:color w:val="7F7F7F" w:themeColor="text1" w:themeTint="80"/>
          <w:lang w:eastAsia="da-DK"/>
        </w:rPr>
        <w:t xml:space="preserve"> ] </w:t>
      </w:r>
    </w:p>
    <w:p w:rsidR="008B2041" w:rsidRPr="008B2041" w:rsidRDefault="008B2041" w:rsidP="008B2041"/>
    <w:p w:rsidR="002747D4" w:rsidRDefault="002747D4" w:rsidP="002747D4">
      <w:pPr>
        <w:pStyle w:val="Overskrift2"/>
        <w:rPr>
          <w:b w:val="0"/>
        </w:rPr>
      </w:pPr>
      <w:r>
        <w:rPr>
          <w:b w:val="0"/>
        </w:rPr>
        <w:t>Oppsummering og konklusjon</w:t>
      </w:r>
      <w:r w:rsidR="001F04AF">
        <w:rPr>
          <w:b w:val="0"/>
        </w:rPr>
        <w:t>er kartlegging av konkurransesituasjonen</w:t>
      </w:r>
    </w:p>
    <w:p w:rsidR="001676C8" w:rsidRPr="003350DF" w:rsidRDefault="001676C8" w:rsidP="001676C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[Oppsummering hentes fra den kommersielle analysen. Les mer om å gjennomføre kommersiell analyse på </w:t>
      </w:r>
      <w:hyperlink r:id="rId11" w:history="1">
        <w:r w:rsidRPr="002C642D">
          <w:rPr>
            <w:rStyle w:val="Hyperkobling"/>
            <w:rFonts w:eastAsia="Arial Unicode MS"/>
            <w:lang w:eastAsia="da-DK"/>
          </w:rPr>
          <w:t>www.anskaffelser.no</w:t>
        </w:r>
      </w:hyperlink>
      <w:r>
        <w:rPr>
          <w:rFonts w:eastAsia="Arial Unicode MS"/>
          <w:color w:val="7F7F7F" w:themeColor="text1" w:themeTint="80"/>
          <w:lang w:eastAsia="da-DK"/>
        </w:rPr>
        <w:t xml:space="preserve"> ] </w:t>
      </w:r>
    </w:p>
    <w:p w:rsidR="001676C8" w:rsidRPr="002747D4" w:rsidRDefault="001676C8" w:rsidP="001676C8"/>
    <w:p w:rsidR="001F38C0" w:rsidRDefault="001F38C0" w:rsidP="0040382A">
      <w:pPr>
        <w:pStyle w:val="Overskrift2"/>
        <w:rPr>
          <w:b w:val="0"/>
        </w:rPr>
      </w:pPr>
      <w:r w:rsidRPr="001F38C0">
        <w:rPr>
          <w:b w:val="0"/>
        </w:rPr>
        <w:t xml:space="preserve">Oppsummering og konklusjoner fra </w:t>
      </w:r>
      <w:r w:rsidR="0040382A">
        <w:rPr>
          <w:b w:val="0"/>
        </w:rPr>
        <w:t>markedsdialogen</w:t>
      </w:r>
    </w:p>
    <w:p w:rsidR="00C73343" w:rsidRPr="003350DF" w:rsidRDefault="00C73343" w:rsidP="00C73343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[Oppsummering hentes fra Behovsverifiseringen. Les mer om å gjennomføre behovsverifisering og finn mal for behovsverifisering på </w:t>
      </w:r>
      <w:hyperlink r:id="rId12" w:history="1">
        <w:r w:rsidRPr="002C642D">
          <w:rPr>
            <w:rStyle w:val="Hyperkobling"/>
            <w:rFonts w:eastAsia="Arial Unicode MS"/>
            <w:lang w:eastAsia="da-DK"/>
          </w:rPr>
          <w:t>www.anskaffelser.no</w:t>
        </w:r>
      </w:hyperlink>
      <w:r>
        <w:rPr>
          <w:rFonts w:eastAsia="Arial Unicode MS"/>
          <w:color w:val="7F7F7F" w:themeColor="text1" w:themeTint="80"/>
          <w:lang w:eastAsia="da-DK"/>
        </w:rPr>
        <w:t xml:space="preserve"> ] </w:t>
      </w:r>
    </w:p>
    <w:p w:rsidR="00C73343" w:rsidRPr="00C73343" w:rsidRDefault="00C73343" w:rsidP="00C73343"/>
    <w:p w:rsidR="0040382A" w:rsidRDefault="0040382A" w:rsidP="0040382A">
      <w:pPr>
        <w:pStyle w:val="Overskrift2"/>
        <w:rPr>
          <w:b w:val="0"/>
        </w:rPr>
      </w:pPr>
      <w:r>
        <w:rPr>
          <w:b w:val="0"/>
        </w:rPr>
        <w:t>Oppsummering og konklusjoner fra risikoanalysen</w:t>
      </w:r>
    </w:p>
    <w:p w:rsidR="00C73343" w:rsidRPr="003350DF" w:rsidRDefault="00C73343" w:rsidP="00C73343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[Oppsummering hentes fra </w:t>
      </w:r>
      <w:r w:rsidR="006F31D4">
        <w:rPr>
          <w:rFonts w:eastAsia="Arial Unicode MS"/>
          <w:color w:val="7F7F7F" w:themeColor="text1" w:themeTint="80"/>
          <w:lang w:eastAsia="da-DK"/>
        </w:rPr>
        <w:t>risikoanalysen</w:t>
      </w:r>
      <w:r>
        <w:rPr>
          <w:rFonts w:eastAsia="Arial Unicode MS"/>
          <w:color w:val="7F7F7F" w:themeColor="text1" w:themeTint="80"/>
          <w:lang w:eastAsia="da-DK"/>
        </w:rPr>
        <w:t xml:space="preserve">. Les mer om å gjennomføre </w:t>
      </w:r>
      <w:r w:rsidR="006F31D4">
        <w:rPr>
          <w:rFonts w:eastAsia="Arial Unicode MS"/>
          <w:color w:val="7F7F7F" w:themeColor="text1" w:themeTint="80"/>
          <w:lang w:eastAsia="da-DK"/>
        </w:rPr>
        <w:t>risikoanalyse</w:t>
      </w:r>
      <w:r>
        <w:rPr>
          <w:rFonts w:eastAsia="Arial Unicode MS"/>
          <w:color w:val="7F7F7F" w:themeColor="text1" w:themeTint="80"/>
          <w:lang w:eastAsia="da-DK"/>
        </w:rPr>
        <w:t xml:space="preserve"> og finn mal for </w:t>
      </w:r>
      <w:r w:rsidR="006F31D4">
        <w:rPr>
          <w:rFonts w:eastAsia="Arial Unicode MS"/>
          <w:color w:val="7F7F7F" w:themeColor="text1" w:themeTint="80"/>
          <w:lang w:eastAsia="da-DK"/>
        </w:rPr>
        <w:t>analysen</w:t>
      </w:r>
      <w:r>
        <w:rPr>
          <w:rFonts w:eastAsia="Arial Unicode MS"/>
          <w:color w:val="7F7F7F" w:themeColor="text1" w:themeTint="80"/>
          <w:lang w:eastAsia="da-DK"/>
        </w:rPr>
        <w:t xml:space="preserve"> på </w:t>
      </w:r>
      <w:hyperlink r:id="rId13" w:history="1">
        <w:r w:rsidRPr="002C642D">
          <w:rPr>
            <w:rStyle w:val="Hyperkobling"/>
            <w:rFonts w:eastAsia="Arial Unicode MS"/>
            <w:lang w:eastAsia="da-DK"/>
          </w:rPr>
          <w:t>www.anskaffelser.no</w:t>
        </w:r>
      </w:hyperlink>
      <w:r>
        <w:rPr>
          <w:rFonts w:eastAsia="Arial Unicode MS"/>
          <w:color w:val="7F7F7F" w:themeColor="text1" w:themeTint="80"/>
          <w:lang w:eastAsia="da-DK"/>
        </w:rPr>
        <w:t xml:space="preserve"> ] </w:t>
      </w:r>
    </w:p>
    <w:p w:rsidR="00C73343" w:rsidRPr="00C73343" w:rsidRDefault="00C73343" w:rsidP="00C73343"/>
    <w:p w:rsidR="0040382A" w:rsidRDefault="0040382A" w:rsidP="004B229D">
      <w:pPr>
        <w:pStyle w:val="Overskrift1"/>
        <w:spacing w:before="120" w:after="120"/>
        <w:ind w:left="709" w:hanging="709"/>
      </w:pPr>
      <w:r w:rsidRPr="0040382A">
        <w:t>Kostnadsoverslag</w:t>
      </w:r>
      <w:r>
        <w:t>/budsjett</w:t>
      </w:r>
    </w:p>
    <w:p w:rsidR="00790933" w:rsidRDefault="00F6790A" w:rsidP="00B0737F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[Tabellen under er et enkelt oppsett for de viktigste </w:t>
      </w:r>
      <w:r w:rsidR="00790933">
        <w:rPr>
          <w:rFonts w:eastAsia="Arial Unicode MS"/>
          <w:color w:val="7F7F7F" w:themeColor="text1" w:themeTint="80"/>
          <w:lang w:eastAsia="da-DK"/>
        </w:rPr>
        <w:t>kostelementene</w:t>
      </w:r>
      <w:r w:rsidR="00460C08">
        <w:rPr>
          <w:rFonts w:eastAsia="Arial Unicode MS"/>
          <w:color w:val="7F7F7F" w:themeColor="text1" w:themeTint="80"/>
          <w:lang w:eastAsia="da-DK"/>
        </w:rPr>
        <w:t xml:space="preserve"> som må vurderes i en anskaffelsesprosess</w:t>
      </w:r>
      <w:r w:rsidR="00790933">
        <w:rPr>
          <w:rFonts w:eastAsia="Arial Unicode MS"/>
          <w:color w:val="7F7F7F" w:themeColor="text1" w:themeTint="80"/>
          <w:lang w:eastAsia="da-DK"/>
        </w:rPr>
        <w:t xml:space="preserve">.  Utdypende fagstoff om de enkelte elementene finner du på </w:t>
      </w:r>
      <w:hyperlink r:id="rId14" w:history="1">
        <w:r w:rsidR="00790933" w:rsidRPr="00F41A49">
          <w:rPr>
            <w:rStyle w:val="Hyperkobling"/>
            <w:rFonts w:eastAsia="Arial Unicode MS"/>
            <w:lang w:eastAsia="da-DK"/>
          </w:rPr>
          <w:t>www.anskaffelser.no/</w:t>
        </w:r>
      </w:hyperlink>
    </w:p>
    <w:p w:rsidR="00B0737F" w:rsidRDefault="00084C65" w:rsidP="00B0737F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Utgifter og inntekter bør periodiseres enten i forhold til virksomhetens regnskapsrutiner eller naturlige milepæler/betalingsmilepæler i gjennomføringen.]</w:t>
      </w:r>
    </w:p>
    <w:p w:rsidR="00084C65" w:rsidRDefault="00084C65" w:rsidP="00B0737F">
      <w:pPr>
        <w:rPr>
          <w:color w:val="FF0000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23"/>
        <w:gridCol w:w="661"/>
        <w:gridCol w:w="706"/>
        <w:gridCol w:w="706"/>
        <w:gridCol w:w="714"/>
        <w:gridCol w:w="709"/>
        <w:gridCol w:w="709"/>
        <w:gridCol w:w="709"/>
        <w:gridCol w:w="709"/>
        <w:gridCol w:w="850"/>
      </w:tblGrid>
      <w:tr w:rsidR="00192C24" w:rsidTr="00FB10B0">
        <w:tc>
          <w:tcPr>
            <w:tcW w:w="2835" w:type="dxa"/>
          </w:tcPr>
          <w:p w:rsidR="00192C24" w:rsidRPr="007D3C0D" w:rsidRDefault="00192C24" w:rsidP="00FB10B0">
            <w:pPr>
              <w:pStyle w:val="BrdtekstT"/>
              <w:rPr>
                <w:b/>
              </w:rPr>
            </w:pPr>
            <w:r w:rsidRPr="007D3C0D">
              <w:rPr>
                <w:b/>
              </w:rPr>
              <w:t>Perioder:</w:t>
            </w:r>
          </w:p>
        </w:tc>
        <w:tc>
          <w:tcPr>
            <w:tcW w:w="661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P1</w:t>
            </w:r>
          </w:p>
        </w:tc>
        <w:tc>
          <w:tcPr>
            <w:tcW w:w="706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P2</w:t>
            </w:r>
          </w:p>
        </w:tc>
        <w:tc>
          <w:tcPr>
            <w:tcW w:w="706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P3</w:t>
            </w:r>
          </w:p>
        </w:tc>
        <w:tc>
          <w:tcPr>
            <w:tcW w:w="714" w:type="dxa"/>
          </w:tcPr>
          <w:p w:rsidR="00192C24" w:rsidRPr="007D3C0D" w:rsidRDefault="00192C24" w:rsidP="00FB10B0">
            <w:pPr>
              <w:pStyle w:val="BrdtekstT"/>
              <w:rPr>
                <w:b/>
              </w:rPr>
            </w:pPr>
            <w:r w:rsidRPr="007D3C0D">
              <w:rPr>
                <w:b/>
                <w:color w:val="A6A6A6" w:themeColor="background1" w:themeShade="A6"/>
              </w:rPr>
              <w:t>P4</w:t>
            </w:r>
          </w:p>
        </w:tc>
        <w:tc>
          <w:tcPr>
            <w:tcW w:w="709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P5</w:t>
            </w:r>
          </w:p>
        </w:tc>
        <w:tc>
          <w:tcPr>
            <w:tcW w:w="709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P6</w:t>
            </w:r>
          </w:p>
        </w:tc>
        <w:tc>
          <w:tcPr>
            <w:tcW w:w="709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P7</w:t>
            </w:r>
          </w:p>
        </w:tc>
        <w:tc>
          <w:tcPr>
            <w:tcW w:w="709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P8</w:t>
            </w:r>
          </w:p>
        </w:tc>
        <w:tc>
          <w:tcPr>
            <w:tcW w:w="850" w:type="dxa"/>
          </w:tcPr>
          <w:p w:rsidR="00192C24" w:rsidRPr="006708B7" w:rsidRDefault="00192C24" w:rsidP="00FB10B0">
            <w:pPr>
              <w:pStyle w:val="BrdtekstT"/>
              <w:rPr>
                <w:b/>
              </w:rPr>
            </w:pPr>
            <w:r w:rsidRPr="006708B7">
              <w:rPr>
                <w:b/>
              </w:rPr>
              <w:t>Sum</w:t>
            </w:r>
          </w:p>
        </w:tc>
      </w:tr>
      <w:tr w:rsidR="00192C24" w:rsidTr="00FB10B0">
        <w:tc>
          <w:tcPr>
            <w:tcW w:w="2835" w:type="dxa"/>
            <w:tcBorders>
              <w:bottom w:val="single" w:sz="4" w:space="0" w:color="auto"/>
            </w:tcBorders>
          </w:tcPr>
          <w:p w:rsidR="00192C24" w:rsidRPr="005A2D3F" w:rsidRDefault="00192C24" w:rsidP="00FB10B0">
            <w:pPr>
              <w:pStyle w:val="BrdtekstT"/>
              <w:rPr>
                <w:b/>
              </w:rPr>
            </w:pPr>
            <w:r w:rsidRPr="005A2D3F">
              <w:rPr>
                <w:b/>
              </w:rPr>
              <w:t>Kontraktens anslåtte verdi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----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----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----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</w:tcPr>
          <w:p w:rsidR="00192C24" w:rsidRPr="007D3C0D" w:rsidRDefault="00192C24" w:rsidP="00FB10B0">
            <w:pPr>
              <w:pStyle w:val="BrdtekstT"/>
            </w:pPr>
            <w:r w:rsidRPr="007D3C0D">
              <w:t>Kjøpskostnad</w:t>
            </w:r>
          </w:p>
        </w:tc>
        <w:tc>
          <w:tcPr>
            <w:tcW w:w="661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</w:tcPr>
          <w:p w:rsidR="00192C24" w:rsidRDefault="00192C24" w:rsidP="00FB10B0">
            <w:pPr>
              <w:pStyle w:val="BrdtekstT"/>
            </w:pPr>
            <w:r>
              <w:t>+ FDV-kostnader</w:t>
            </w:r>
          </w:p>
        </w:tc>
        <w:tc>
          <w:tcPr>
            <w:tcW w:w="661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</w:tcPr>
          <w:p w:rsidR="00192C24" w:rsidRDefault="00192C24" w:rsidP="00FB10B0">
            <w:pPr>
              <w:pStyle w:val="BrdtekstT"/>
            </w:pPr>
            <w:r>
              <w:t>+ avhendingskostnader</w:t>
            </w:r>
          </w:p>
        </w:tc>
        <w:tc>
          <w:tcPr>
            <w:tcW w:w="661" w:type="dxa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t xml:space="preserve">= </w:t>
            </w:r>
            <w:r w:rsidRPr="005444D0">
              <w:rPr>
                <w:b/>
              </w:rPr>
              <w:t>Livssykluskostnad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  <w:tcBorders>
              <w:bottom w:val="single" w:sz="4" w:space="0" w:color="auto"/>
            </w:tcBorders>
          </w:tcPr>
          <w:p w:rsidR="00192C24" w:rsidRPr="005A2D3F" w:rsidRDefault="00192C24" w:rsidP="00FB10B0">
            <w:pPr>
              <w:pStyle w:val="BrdtekstT"/>
              <w:rPr>
                <w:b/>
              </w:rPr>
            </w:pPr>
            <w:r w:rsidRPr="005A2D3F">
              <w:rPr>
                <w:b/>
              </w:rPr>
              <w:t>Gjennomføringskostnader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</w:tr>
      <w:tr w:rsidR="00192C24" w:rsidRPr="007D3C0D" w:rsidTr="00FB10B0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192C24" w:rsidRPr="007D3C0D" w:rsidRDefault="00192C24" w:rsidP="00FB10B0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7D3C0D" w:rsidRDefault="00192C24" w:rsidP="00FB10B0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7D3C0D" w:rsidRDefault="00192C24" w:rsidP="00FB10B0">
            <w:pPr>
              <w:pStyle w:val="BrdtekstT"/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t>Inntekter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  <w:tcBorders>
              <w:bottom w:val="single" w:sz="4" w:space="0" w:color="auto"/>
            </w:tcBorders>
          </w:tcPr>
          <w:p w:rsidR="00192C24" w:rsidRPr="005A2D3F" w:rsidRDefault="00192C24" w:rsidP="00FB10B0">
            <w:pPr>
              <w:pStyle w:val="BrdtekstT"/>
              <w:rPr>
                <w:b/>
              </w:rPr>
            </w:pPr>
            <w:r w:rsidRPr="005A2D3F">
              <w:rPr>
                <w:b/>
              </w:rPr>
              <w:t xml:space="preserve">Anskaffelsens totale kostnad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</w:tcPr>
          <w:p w:rsidR="00192C24" w:rsidRPr="005A2D3F" w:rsidRDefault="00192C24" w:rsidP="00FB10B0">
            <w:pPr>
              <w:pStyle w:val="BrdtekstT"/>
              <w:rPr>
                <w:b/>
              </w:rPr>
            </w:pPr>
            <w:r w:rsidRPr="005A2D3F">
              <w:rPr>
                <w:b/>
              </w:rPr>
              <w:t>Budsjett</w:t>
            </w:r>
          </w:p>
        </w:tc>
        <w:tc>
          <w:tcPr>
            <w:tcW w:w="661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14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</w:tcPr>
          <w:p w:rsidR="00192C24" w:rsidRDefault="00192C24" w:rsidP="00FB10B0">
            <w:pPr>
              <w:pStyle w:val="BrdtekstT"/>
            </w:pPr>
          </w:p>
        </w:tc>
      </w:tr>
    </w:tbl>
    <w:p w:rsidR="00F6790A" w:rsidRPr="00B0737F" w:rsidRDefault="00F6790A" w:rsidP="00B0737F">
      <w:pPr>
        <w:rPr>
          <w:color w:val="FF0000"/>
        </w:rPr>
      </w:pPr>
    </w:p>
    <w:p w:rsidR="00A475D7" w:rsidRDefault="00132BBB" w:rsidP="004B229D">
      <w:pPr>
        <w:pStyle w:val="Overskrift1"/>
        <w:spacing w:before="120" w:after="120"/>
        <w:ind w:left="709" w:hanging="709"/>
      </w:pPr>
      <w:r>
        <w:lastRenderedPageBreak/>
        <w:t>konkurransestrategiske beslutninger</w:t>
      </w:r>
    </w:p>
    <w:p w:rsidR="00822073" w:rsidRDefault="00860037" w:rsidP="004C2D1C">
      <w:pPr>
        <w:pStyle w:val="Overskrift2"/>
        <w:rPr>
          <w:b w:val="0"/>
        </w:rPr>
      </w:pPr>
      <w:r>
        <w:rPr>
          <w:b w:val="0"/>
        </w:rPr>
        <w:t>Avrop på eksisterende avtaler</w:t>
      </w:r>
    </w:p>
    <w:p w:rsidR="00860037" w:rsidRDefault="009B23ED" w:rsidP="00725ED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S</w:t>
      </w:r>
      <w:r w:rsidR="00860037">
        <w:rPr>
          <w:rFonts w:eastAsia="Arial Unicode MS"/>
          <w:color w:val="7F7F7F" w:themeColor="text1" w:themeTint="80"/>
          <w:lang w:eastAsia="da-DK"/>
        </w:rPr>
        <w:t>kal alltid vurderes</w:t>
      </w:r>
      <w:r>
        <w:rPr>
          <w:rFonts w:eastAsia="Arial Unicode MS"/>
          <w:color w:val="7F7F7F" w:themeColor="text1" w:themeTint="80"/>
          <w:lang w:eastAsia="da-DK"/>
        </w:rPr>
        <w:t xml:space="preserve">.  </w:t>
      </w:r>
      <w:r w:rsidR="00993E14">
        <w:rPr>
          <w:rFonts w:eastAsia="Arial Unicode MS"/>
          <w:color w:val="7F7F7F" w:themeColor="text1" w:themeTint="80"/>
          <w:lang w:eastAsia="da-DK"/>
        </w:rPr>
        <w:t>Dersom det eksisterer en avtale som kan se ut til å omfatte ytelsen, skal det begrunnes hvorfor ytelsen ikke omfattes av avtalen.</w:t>
      </w:r>
    </w:p>
    <w:p w:rsidR="004B229D" w:rsidRPr="00725ED9" w:rsidRDefault="004B229D" w:rsidP="00725ED9"/>
    <w:p w:rsidR="00F94B93" w:rsidRDefault="00F94B93" w:rsidP="004B229D">
      <w:pPr>
        <w:pStyle w:val="Overskrift2"/>
        <w:numPr>
          <w:ilvl w:val="1"/>
          <w:numId w:val="13"/>
        </w:numPr>
        <w:rPr>
          <w:b w:val="0"/>
        </w:rPr>
      </w:pPr>
      <w:r>
        <w:rPr>
          <w:b w:val="0"/>
        </w:rPr>
        <w:t>Behovsavveining</w:t>
      </w:r>
    </w:p>
    <w:p w:rsidR="006E591E" w:rsidRPr="00993E14" w:rsidRDefault="006E591E" w:rsidP="00F94B93">
      <w:pPr>
        <w:rPr>
          <w:rFonts w:eastAsia="Arial Unicode MS"/>
          <w:color w:val="7F7F7F" w:themeColor="text1" w:themeTint="80"/>
          <w:lang w:eastAsia="da-DK"/>
        </w:rPr>
      </w:pPr>
      <w:r w:rsidRPr="00993E14">
        <w:rPr>
          <w:rFonts w:eastAsia="Arial Unicode MS"/>
          <w:color w:val="7F7F7F" w:themeColor="text1" w:themeTint="80"/>
          <w:lang w:eastAsia="da-DK"/>
        </w:rPr>
        <w:t>Basert på behovskartleggingen og vurderingen av hvilke behov som leder til</w:t>
      </w:r>
      <w:r w:rsidR="00993E14">
        <w:rPr>
          <w:rFonts w:eastAsia="Arial Unicode MS"/>
          <w:color w:val="7F7F7F" w:themeColor="text1" w:themeTint="80"/>
          <w:lang w:eastAsia="da-DK"/>
        </w:rPr>
        <w:t xml:space="preserve"> oppfyllelse av formålet og</w:t>
      </w:r>
      <w:r w:rsidRPr="00993E14">
        <w:rPr>
          <w:rFonts w:eastAsia="Arial Unicode MS"/>
          <w:color w:val="7F7F7F" w:themeColor="text1" w:themeTint="80"/>
          <w:lang w:eastAsia="da-DK"/>
        </w:rPr>
        <w:t xml:space="preserve"> resultatoppnåelse, forslås det her hvilke behov som skal prioriteres innen for rammene for anskaffelsen. </w:t>
      </w:r>
    </w:p>
    <w:p w:rsidR="00F94B93" w:rsidRPr="00F94B93" w:rsidRDefault="00F94B93" w:rsidP="00F94B93"/>
    <w:p w:rsidR="004B229D" w:rsidRDefault="004B229D" w:rsidP="004B229D">
      <w:pPr>
        <w:pStyle w:val="Overskrift2"/>
        <w:numPr>
          <w:ilvl w:val="1"/>
          <w:numId w:val="13"/>
        </w:numPr>
        <w:rPr>
          <w:b w:val="0"/>
        </w:rPr>
      </w:pPr>
      <w:r w:rsidRPr="004B229D">
        <w:rPr>
          <w:b w:val="0"/>
        </w:rPr>
        <w:t>Valg av prosedyre</w:t>
      </w:r>
    </w:p>
    <w:p w:rsidR="00993E14" w:rsidRDefault="006E591E" w:rsidP="00993E14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Beslutning om valg av prosedyre avhenger av</w:t>
      </w:r>
      <w:r w:rsidR="000200AB">
        <w:rPr>
          <w:rFonts w:eastAsia="Arial Unicode MS"/>
          <w:color w:val="7F7F7F" w:themeColor="text1" w:themeTint="80"/>
          <w:lang w:eastAsia="da-DK"/>
        </w:rPr>
        <w:t xml:space="preserve"> både hjemmel,</w:t>
      </w:r>
      <w:r>
        <w:rPr>
          <w:rFonts w:eastAsia="Arial Unicode MS"/>
          <w:color w:val="7F7F7F" w:themeColor="text1" w:themeTint="80"/>
          <w:lang w:eastAsia="da-DK"/>
        </w:rPr>
        <w:t xml:space="preserve"> konkurransesituasjon, </w:t>
      </w:r>
      <w:r w:rsidR="00993E14">
        <w:rPr>
          <w:rFonts w:eastAsia="Arial Unicode MS"/>
          <w:color w:val="7F7F7F" w:themeColor="text1" w:themeTint="80"/>
          <w:lang w:eastAsia="da-DK"/>
        </w:rPr>
        <w:t xml:space="preserve">ytelsens art og </w:t>
      </w:r>
      <w:r>
        <w:rPr>
          <w:rFonts w:eastAsia="Arial Unicode MS"/>
          <w:color w:val="7F7F7F" w:themeColor="text1" w:themeTint="80"/>
          <w:lang w:eastAsia="da-DK"/>
        </w:rPr>
        <w:t>tid til rådighet</w:t>
      </w:r>
      <w:r w:rsidR="00993E14">
        <w:rPr>
          <w:rFonts w:eastAsia="Arial Unicode MS"/>
          <w:color w:val="7F7F7F" w:themeColor="text1" w:themeTint="80"/>
          <w:lang w:eastAsia="da-DK"/>
        </w:rPr>
        <w:t>.</w:t>
      </w:r>
      <w:r w:rsidR="00993E14" w:rsidRPr="00993E14">
        <w:rPr>
          <w:rFonts w:eastAsia="Arial Unicode MS"/>
          <w:color w:val="7F7F7F" w:themeColor="text1" w:themeTint="80"/>
          <w:lang w:eastAsia="da-DK"/>
        </w:rPr>
        <w:t xml:space="preserve"> </w:t>
      </w:r>
      <w:r w:rsidR="00993E14">
        <w:rPr>
          <w:rFonts w:eastAsia="Arial Unicode MS"/>
          <w:color w:val="7F7F7F" w:themeColor="text1" w:themeTint="80"/>
          <w:lang w:eastAsia="da-DK"/>
        </w:rPr>
        <w:t>Kort d</w:t>
      </w:r>
      <w:r w:rsidR="00993E14" w:rsidRPr="004B229D">
        <w:rPr>
          <w:rFonts w:eastAsia="Arial Unicode MS"/>
          <w:color w:val="7F7F7F" w:themeColor="text1" w:themeTint="80"/>
          <w:lang w:eastAsia="da-DK"/>
        </w:rPr>
        <w:t xml:space="preserve">røfting og begrunnelse for </w:t>
      </w:r>
      <w:r w:rsidR="00993E14">
        <w:rPr>
          <w:rFonts w:eastAsia="Arial Unicode MS"/>
          <w:color w:val="7F7F7F" w:themeColor="text1" w:themeTint="80"/>
          <w:lang w:eastAsia="da-DK"/>
        </w:rPr>
        <w:t>foreslått prosedyre.</w:t>
      </w:r>
    </w:p>
    <w:p w:rsidR="004B229D" w:rsidRPr="004B229D" w:rsidRDefault="004B229D" w:rsidP="004B229D">
      <w:pPr>
        <w:rPr>
          <w:rFonts w:eastAsia="Arial Unicode MS"/>
          <w:color w:val="7F7F7F" w:themeColor="text1" w:themeTint="80"/>
          <w:lang w:eastAsia="da-DK"/>
        </w:rPr>
      </w:pPr>
    </w:p>
    <w:p w:rsidR="004C2D1C" w:rsidRDefault="004C2D1C" w:rsidP="004C2D1C">
      <w:pPr>
        <w:pStyle w:val="Overskrift2"/>
        <w:rPr>
          <w:b w:val="0"/>
        </w:rPr>
      </w:pPr>
      <w:r>
        <w:rPr>
          <w:b w:val="0"/>
        </w:rPr>
        <w:t>Spesifikasjonsform</w:t>
      </w:r>
    </w:p>
    <w:p w:rsidR="00D876A8" w:rsidRDefault="00993E14" w:rsidP="00D876A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Spesifikasjonsform har betydning for</w:t>
      </w:r>
      <w:r w:rsidR="001E2208">
        <w:rPr>
          <w:rFonts w:eastAsia="Arial Unicode MS"/>
          <w:color w:val="7F7F7F" w:themeColor="text1" w:themeTint="80"/>
          <w:lang w:eastAsia="da-DK"/>
        </w:rPr>
        <w:t xml:space="preserve"> både for hvilke leverandører som vil delta i konkurransen og løsningsalternativene i tilbudene. </w:t>
      </w:r>
      <w:r w:rsidR="00D876A8">
        <w:rPr>
          <w:rFonts w:eastAsia="Arial Unicode MS"/>
          <w:color w:val="7F7F7F" w:themeColor="text1" w:themeTint="80"/>
          <w:lang w:eastAsia="da-DK"/>
        </w:rPr>
        <w:t>Kort d</w:t>
      </w:r>
      <w:r w:rsidR="00D876A8" w:rsidRPr="004B229D">
        <w:rPr>
          <w:rFonts w:eastAsia="Arial Unicode MS"/>
          <w:color w:val="7F7F7F" w:themeColor="text1" w:themeTint="80"/>
          <w:lang w:eastAsia="da-DK"/>
        </w:rPr>
        <w:t>røfting og begrunnelse for</w:t>
      </w:r>
      <w:r>
        <w:rPr>
          <w:rFonts w:eastAsia="Arial Unicode MS"/>
          <w:color w:val="7F7F7F" w:themeColor="text1" w:themeTint="80"/>
          <w:lang w:eastAsia="da-DK"/>
        </w:rPr>
        <w:t xml:space="preserve"> </w:t>
      </w:r>
      <w:r w:rsidR="001E2208">
        <w:rPr>
          <w:rFonts w:eastAsia="Arial Unicode MS"/>
          <w:color w:val="7F7F7F" w:themeColor="text1" w:themeTint="80"/>
          <w:lang w:eastAsia="da-DK"/>
        </w:rPr>
        <w:t xml:space="preserve">forslag til </w:t>
      </w:r>
      <w:r>
        <w:rPr>
          <w:rFonts w:eastAsia="Arial Unicode MS"/>
          <w:color w:val="7F7F7F" w:themeColor="text1" w:themeTint="80"/>
          <w:lang w:eastAsia="da-DK"/>
        </w:rPr>
        <w:t>valg av spesifikasjonsform</w:t>
      </w:r>
      <w:r w:rsidR="001E2208">
        <w:rPr>
          <w:rFonts w:eastAsia="Arial Unicode MS"/>
          <w:color w:val="7F7F7F" w:themeColor="text1" w:themeTint="80"/>
          <w:lang w:eastAsia="da-DK"/>
        </w:rPr>
        <w:t xml:space="preserve"> for de ulike krav.</w:t>
      </w:r>
    </w:p>
    <w:p w:rsidR="004B229D" w:rsidRPr="004B229D" w:rsidRDefault="004B229D" w:rsidP="004B229D"/>
    <w:p w:rsidR="004C2D1C" w:rsidRDefault="004C2D1C" w:rsidP="006654C7">
      <w:pPr>
        <w:pStyle w:val="Overskrift2"/>
        <w:rPr>
          <w:b w:val="0"/>
        </w:rPr>
      </w:pPr>
      <w:r w:rsidRPr="006654C7">
        <w:rPr>
          <w:b w:val="0"/>
        </w:rPr>
        <w:t>Krav/tildelingskriterier</w:t>
      </w:r>
    </w:p>
    <w:p w:rsidR="00A5434C" w:rsidRDefault="005C5E36" w:rsidP="00A5434C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Tildelingskriterier må sees i sammenheng med kravene i spesifikasjonen. Hvordan bidrar tildeling</w:t>
      </w:r>
      <w:r w:rsidR="00CC1DF5">
        <w:rPr>
          <w:rFonts w:eastAsia="Arial Unicode MS"/>
          <w:color w:val="7F7F7F" w:themeColor="text1" w:themeTint="80"/>
          <w:lang w:eastAsia="da-DK"/>
        </w:rPr>
        <w:t>sk</w:t>
      </w:r>
      <w:r>
        <w:rPr>
          <w:rFonts w:eastAsia="Arial Unicode MS"/>
          <w:color w:val="7F7F7F" w:themeColor="text1" w:themeTint="80"/>
          <w:lang w:eastAsia="da-DK"/>
        </w:rPr>
        <w:t>riteriene til bedre</w:t>
      </w:r>
      <w:r w:rsidR="000200AB">
        <w:rPr>
          <w:rFonts w:eastAsia="Arial Unicode MS"/>
          <w:color w:val="7F7F7F" w:themeColor="text1" w:themeTint="80"/>
          <w:lang w:eastAsia="da-DK"/>
        </w:rPr>
        <w:t xml:space="preserve"> oppfyllelse av formålet og </w:t>
      </w:r>
      <w:r>
        <w:rPr>
          <w:rFonts w:eastAsia="Arial Unicode MS"/>
          <w:color w:val="7F7F7F" w:themeColor="text1" w:themeTint="80"/>
          <w:lang w:eastAsia="da-DK"/>
        </w:rPr>
        <w:t>resultatoppnåelse</w:t>
      </w:r>
      <w:r w:rsidR="000200AB">
        <w:rPr>
          <w:rFonts w:eastAsia="Arial Unicode MS"/>
          <w:color w:val="7F7F7F" w:themeColor="text1" w:themeTint="80"/>
          <w:lang w:eastAsia="da-DK"/>
        </w:rPr>
        <w:t>?</w:t>
      </w:r>
      <w:r>
        <w:rPr>
          <w:rFonts w:eastAsia="Arial Unicode MS"/>
          <w:color w:val="7F7F7F" w:themeColor="text1" w:themeTint="80"/>
          <w:lang w:eastAsia="da-DK"/>
        </w:rPr>
        <w:t xml:space="preserve"> </w:t>
      </w:r>
      <w:r w:rsidR="00A5434C">
        <w:rPr>
          <w:rFonts w:eastAsia="Arial Unicode MS"/>
          <w:color w:val="7F7F7F" w:themeColor="text1" w:themeTint="80"/>
          <w:lang w:eastAsia="da-DK"/>
        </w:rPr>
        <w:t>Kort d</w:t>
      </w:r>
      <w:r w:rsidR="00A5434C" w:rsidRPr="004B229D">
        <w:rPr>
          <w:rFonts w:eastAsia="Arial Unicode MS"/>
          <w:color w:val="7F7F7F" w:themeColor="text1" w:themeTint="80"/>
          <w:lang w:eastAsia="da-DK"/>
        </w:rPr>
        <w:t>røfting og begrunnelse</w:t>
      </w:r>
      <w:r w:rsidR="00CC1DF5">
        <w:rPr>
          <w:rFonts w:eastAsia="Arial Unicode MS"/>
          <w:color w:val="7F7F7F" w:themeColor="text1" w:themeTint="80"/>
          <w:lang w:eastAsia="da-DK"/>
        </w:rPr>
        <w:t xml:space="preserve"> for </w:t>
      </w:r>
      <w:r w:rsidR="000200AB">
        <w:rPr>
          <w:rFonts w:eastAsia="Arial Unicode MS"/>
          <w:color w:val="7F7F7F" w:themeColor="text1" w:themeTint="80"/>
          <w:lang w:eastAsia="da-DK"/>
        </w:rPr>
        <w:t>forslag til krav og kriterier.</w:t>
      </w:r>
      <w:r w:rsidR="00A5434C" w:rsidRPr="004B229D">
        <w:rPr>
          <w:rFonts w:eastAsia="Arial Unicode MS"/>
          <w:color w:val="7F7F7F" w:themeColor="text1" w:themeTint="80"/>
          <w:lang w:eastAsia="da-DK"/>
        </w:rPr>
        <w:t xml:space="preserve"> </w:t>
      </w:r>
    </w:p>
    <w:p w:rsidR="00D876A8" w:rsidRDefault="00D876A8" w:rsidP="00D876A8">
      <w:pPr>
        <w:rPr>
          <w:rFonts w:eastAsia="Arial Unicode MS"/>
          <w:color w:val="7F7F7F" w:themeColor="text1" w:themeTint="80"/>
          <w:lang w:eastAsia="da-DK"/>
        </w:rPr>
      </w:pPr>
    </w:p>
    <w:p w:rsidR="003C2DA4" w:rsidRDefault="003C2DA4" w:rsidP="003C2DA4">
      <w:pPr>
        <w:pStyle w:val="Overskrift2"/>
        <w:rPr>
          <w:b w:val="0"/>
        </w:rPr>
      </w:pPr>
      <w:r w:rsidRPr="003C2DA4">
        <w:rPr>
          <w:b w:val="0"/>
        </w:rPr>
        <w:t>Konkurranseregler</w:t>
      </w:r>
    </w:p>
    <w:p w:rsidR="00D876A8" w:rsidRDefault="000200AB" w:rsidP="00D876A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Konkurranseregler har betydning hvilke leverandører som vil delta i konkurransen. Valg av </w:t>
      </w:r>
      <w:r w:rsidR="00CC1DF5">
        <w:rPr>
          <w:rFonts w:eastAsia="Arial Unicode MS"/>
          <w:color w:val="7F7F7F" w:themeColor="text1" w:themeTint="80"/>
          <w:lang w:eastAsia="da-DK"/>
        </w:rPr>
        <w:t>lengde på tilbudsfrist, vedståelsesfrist og</w:t>
      </w:r>
      <w:r>
        <w:rPr>
          <w:rFonts w:eastAsia="Arial Unicode MS"/>
          <w:color w:val="7F7F7F" w:themeColor="text1" w:themeTint="80"/>
          <w:lang w:eastAsia="da-DK"/>
        </w:rPr>
        <w:t xml:space="preserve"> oppstart kan være avgjørende faktorer. Vurdering og begrunnelse</w:t>
      </w:r>
    </w:p>
    <w:p w:rsidR="004B229D" w:rsidRPr="004B229D" w:rsidRDefault="004B229D" w:rsidP="004B229D"/>
    <w:p w:rsidR="003C2DA4" w:rsidRDefault="003C2DA4" w:rsidP="003C2DA4">
      <w:pPr>
        <w:pStyle w:val="Overskrift2"/>
        <w:rPr>
          <w:b w:val="0"/>
        </w:rPr>
      </w:pPr>
      <w:r w:rsidRPr="003C2DA4">
        <w:rPr>
          <w:b w:val="0"/>
        </w:rPr>
        <w:t>Kontraktsvilkår</w:t>
      </w:r>
    </w:p>
    <w:p w:rsidR="00D876A8" w:rsidRDefault="000200AB" w:rsidP="00D876A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Hvordan leveransen s</w:t>
      </w:r>
      <w:r w:rsidR="00CC1DF5">
        <w:rPr>
          <w:rFonts w:eastAsia="Arial Unicode MS"/>
          <w:color w:val="7F7F7F" w:themeColor="text1" w:themeTint="80"/>
          <w:lang w:eastAsia="da-DK"/>
        </w:rPr>
        <w:t>kal gjennomføres etter kontrakt</w:t>
      </w:r>
      <w:r>
        <w:rPr>
          <w:rFonts w:eastAsia="Arial Unicode MS"/>
          <w:color w:val="7F7F7F" w:themeColor="text1" w:themeTint="80"/>
          <w:lang w:eastAsia="da-DK"/>
        </w:rPr>
        <w:t>signering har betydning for leveransen godhet og også leverandørens vilje til å ville delta i konkurransen og evne oppfylle kontraktsforpliktelsene. Kort begrunnelse og anbefaling av viktige kontraktsvilkår.</w:t>
      </w:r>
    </w:p>
    <w:p w:rsidR="000200AB" w:rsidRDefault="000200AB" w:rsidP="00D876A8">
      <w:pPr>
        <w:rPr>
          <w:rFonts w:eastAsia="Arial Unicode MS"/>
          <w:color w:val="7F7F7F" w:themeColor="text1" w:themeTint="80"/>
          <w:lang w:eastAsia="da-DK"/>
        </w:rPr>
      </w:pPr>
    </w:p>
    <w:p w:rsidR="004C2D1C" w:rsidRDefault="00E4239E" w:rsidP="003C2DA4">
      <w:pPr>
        <w:pStyle w:val="Overskrift2"/>
        <w:rPr>
          <w:b w:val="0"/>
        </w:rPr>
      </w:pPr>
      <w:r>
        <w:rPr>
          <w:b w:val="0"/>
        </w:rPr>
        <w:t>Publisering</w:t>
      </w:r>
    </w:p>
    <w:p w:rsidR="00E4239E" w:rsidRPr="00E4239E" w:rsidRDefault="00CC1DF5" w:rsidP="00E4239E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Beslutning om veiledende kunngjøring, dialog via Doffin og tidspunkt for endelig kunngjøring kan ha betydning for konkurransesituasjonen. Begrunnelse for forslag.</w:t>
      </w:r>
    </w:p>
    <w:p w:rsidR="00A475D7" w:rsidRDefault="00A475D7" w:rsidP="00A475D7"/>
    <w:p w:rsidR="00D876A8" w:rsidRDefault="00D876A8" w:rsidP="00A475D7"/>
    <w:p w:rsidR="00D876A8" w:rsidRDefault="00D876A8" w:rsidP="00A475D7"/>
    <w:p w:rsidR="00D876A8" w:rsidRPr="00A475D7" w:rsidRDefault="00D876A8" w:rsidP="00A475D7"/>
    <w:p w:rsidR="00467DB6" w:rsidRPr="00467DB6" w:rsidRDefault="00467DB6" w:rsidP="00467DB6"/>
    <w:p w:rsidR="00455711" w:rsidRPr="00F571DE" w:rsidRDefault="00F571DE" w:rsidP="004B229D">
      <w:pPr>
        <w:spacing w:after="120"/>
        <w:rPr>
          <w:rFonts w:ascii="Arial" w:hAnsi="Arial"/>
          <w:b/>
          <w:caps/>
          <w:kern w:val="28"/>
          <w:sz w:val="22"/>
          <w:szCs w:val="22"/>
        </w:rPr>
      </w:pPr>
      <w:r w:rsidRPr="00F571DE">
        <w:rPr>
          <w:rFonts w:ascii="Arial" w:hAnsi="Arial"/>
          <w:b/>
          <w:caps/>
          <w:kern w:val="28"/>
          <w:sz w:val="22"/>
          <w:szCs w:val="22"/>
        </w:rPr>
        <w:t>vedlegg:</w:t>
      </w:r>
    </w:p>
    <w:p w:rsidR="00F571DE" w:rsidRDefault="00FA3D94" w:rsidP="004B229D">
      <w:pPr>
        <w:pStyle w:val="Overskrift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  <w:r w:rsidRPr="00FA3D94">
        <w:rPr>
          <w:b w:val="0"/>
          <w:caps w:val="0"/>
          <w:sz w:val="22"/>
          <w:szCs w:val="22"/>
        </w:rPr>
        <w:t>Behovsverifikasjon</w:t>
      </w:r>
    </w:p>
    <w:p w:rsidR="004B229D" w:rsidRPr="004B229D" w:rsidRDefault="004B229D" w:rsidP="004B229D">
      <w:pPr>
        <w:pStyle w:val="Overskrift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  <w:r w:rsidRPr="004B229D">
        <w:rPr>
          <w:b w:val="0"/>
          <w:caps w:val="0"/>
          <w:sz w:val="22"/>
          <w:szCs w:val="22"/>
        </w:rPr>
        <w:t>Interessentanalyse</w:t>
      </w:r>
    </w:p>
    <w:p w:rsidR="004B229D" w:rsidRPr="004B229D" w:rsidRDefault="004B229D" w:rsidP="004B229D">
      <w:pPr>
        <w:pStyle w:val="Overskrift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  <w:r w:rsidRPr="004B229D">
        <w:rPr>
          <w:b w:val="0"/>
          <w:caps w:val="0"/>
          <w:sz w:val="22"/>
          <w:szCs w:val="22"/>
        </w:rPr>
        <w:t>Kommersiell analyse</w:t>
      </w:r>
    </w:p>
    <w:p w:rsidR="004B229D" w:rsidRPr="004B229D" w:rsidRDefault="004B229D" w:rsidP="004B229D">
      <w:pPr>
        <w:pStyle w:val="Overskrift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  <w:r w:rsidRPr="004B229D">
        <w:rPr>
          <w:b w:val="0"/>
          <w:caps w:val="0"/>
          <w:sz w:val="22"/>
          <w:szCs w:val="22"/>
        </w:rPr>
        <w:t>Markedsdialog</w:t>
      </w:r>
    </w:p>
    <w:p w:rsidR="004B229D" w:rsidRPr="004B229D" w:rsidRDefault="004B229D" w:rsidP="004B229D">
      <w:pPr>
        <w:pStyle w:val="Overskrift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  <w:r w:rsidRPr="004B229D">
        <w:rPr>
          <w:b w:val="0"/>
          <w:caps w:val="0"/>
          <w:sz w:val="22"/>
          <w:szCs w:val="22"/>
        </w:rPr>
        <w:t>Risikoanalyse</w:t>
      </w:r>
    </w:p>
    <w:sectPr w:rsidR="004B229D" w:rsidRPr="004B229D" w:rsidSect="00F43852">
      <w:headerReference w:type="default" r:id="rId15"/>
      <w:footerReference w:type="default" r:id="rId16"/>
      <w:pgSz w:w="11907" w:h="16840" w:code="9"/>
      <w:pgMar w:top="567" w:right="627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00" w:rsidRDefault="00942900">
      <w:r>
        <w:separator/>
      </w:r>
    </w:p>
  </w:endnote>
  <w:endnote w:type="continuationSeparator" w:id="0">
    <w:p w:rsidR="00942900" w:rsidRDefault="0094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C0" w:rsidRPr="007E274B" w:rsidRDefault="001F4AC0" w:rsidP="007E274B">
    <w:pPr>
      <w:tabs>
        <w:tab w:val="center" w:pos="4536"/>
        <w:tab w:val="right" w:pos="9072"/>
      </w:tabs>
      <w:rPr>
        <w:rFonts w:ascii="Calibri" w:hAnsi="Calibri"/>
      </w:rPr>
    </w:pPr>
    <w:r w:rsidRPr="007E274B">
      <w:rPr>
        <w:rFonts w:ascii="Calibri" w:hAnsi="Calibri"/>
      </w:rPr>
      <w:tab/>
    </w:r>
    <w:r w:rsidR="00CA474E">
      <w:rPr>
        <w:rFonts w:ascii="Calibri" w:hAnsi="Calibri"/>
      </w:rPr>
      <w:t>M</w:t>
    </w:r>
    <w:r>
      <w:rPr>
        <w:rFonts w:ascii="Calibri" w:hAnsi="Calibri"/>
      </w:rPr>
      <w:t>al for Konkurransestrategi</w:t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fldChar w:fldCharType="begin"/>
    </w:r>
    <w:r w:rsidRPr="007E274B">
      <w:rPr>
        <w:rFonts w:ascii="Calibri" w:hAnsi="Calibri"/>
      </w:rPr>
      <w:instrText xml:space="preserve"> PAGE  \* Arabic  \* MERGEFORMAT </w:instrText>
    </w:r>
    <w:r w:rsidRPr="007E274B">
      <w:rPr>
        <w:rFonts w:ascii="Calibri" w:hAnsi="Calibri"/>
      </w:rPr>
      <w:fldChar w:fldCharType="separate"/>
    </w:r>
    <w:r w:rsidR="00CC1E78">
      <w:rPr>
        <w:rFonts w:ascii="Calibri" w:hAnsi="Calibri"/>
        <w:noProof/>
      </w:rPr>
      <w:t>2</w:t>
    </w:r>
    <w:r w:rsidRPr="007E274B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00" w:rsidRDefault="00942900">
      <w:r>
        <w:separator/>
      </w:r>
    </w:p>
  </w:footnote>
  <w:footnote w:type="continuationSeparator" w:id="0">
    <w:p w:rsidR="00942900" w:rsidRDefault="0094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C0" w:rsidRPr="00420457" w:rsidRDefault="001F4AC0" w:rsidP="0095532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4F4C238"/>
    <w:lvl w:ilvl="0">
      <w:start w:val="1"/>
      <w:numFmt w:val="decimal"/>
      <w:pStyle w:val="Overskrift1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09" w:hanging="708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09" w:hanging="708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709" w:hanging="708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" w15:restartNumberingAfterBreak="0">
    <w:nsid w:val="1B164075"/>
    <w:multiLevelType w:val="hybridMultilevel"/>
    <w:tmpl w:val="F1C2432E"/>
    <w:lvl w:ilvl="0" w:tplc="8C8AFB92">
      <w:start w:val="1"/>
      <w:numFmt w:val="decimal"/>
      <w:pStyle w:val="Overskrift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FE7D20"/>
    <w:multiLevelType w:val="hybridMultilevel"/>
    <w:tmpl w:val="E402E7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C9"/>
    <w:rsid w:val="000200AB"/>
    <w:rsid w:val="0002371A"/>
    <w:rsid w:val="00037AD2"/>
    <w:rsid w:val="000501E6"/>
    <w:rsid w:val="00050EE1"/>
    <w:rsid w:val="00084C65"/>
    <w:rsid w:val="000A58FE"/>
    <w:rsid w:val="000D5E14"/>
    <w:rsid w:val="000E60B2"/>
    <w:rsid w:val="0011012D"/>
    <w:rsid w:val="00132BBB"/>
    <w:rsid w:val="00142C6E"/>
    <w:rsid w:val="0015047B"/>
    <w:rsid w:val="0015792F"/>
    <w:rsid w:val="001676C8"/>
    <w:rsid w:val="00174E75"/>
    <w:rsid w:val="00190E70"/>
    <w:rsid w:val="00192C24"/>
    <w:rsid w:val="001A569F"/>
    <w:rsid w:val="001B5903"/>
    <w:rsid w:val="001C5668"/>
    <w:rsid w:val="001C6D68"/>
    <w:rsid w:val="001D03AE"/>
    <w:rsid w:val="001E2208"/>
    <w:rsid w:val="001F04AF"/>
    <w:rsid w:val="001F0A26"/>
    <w:rsid w:val="001F0EA9"/>
    <w:rsid w:val="001F38C0"/>
    <w:rsid w:val="001F4AC0"/>
    <w:rsid w:val="001F670B"/>
    <w:rsid w:val="00204020"/>
    <w:rsid w:val="00206AAA"/>
    <w:rsid w:val="0022148F"/>
    <w:rsid w:val="00252D8A"/>
    <w:rsid w:val="002636D1"/>
    <w:rsid w:val="002665CB"/>
    <w:rsid w:val="00273EDD"/>
    <w:rsid w:val="002747D4"/>
    <w:rsid w:val="00292F81"/>
    <w:rsid w:val="002A15A3"/>
    <w:rsid w:val="002A19BC"/>
    <w:rsid w:val="002A3194"/>
    <w:rsid w:val="002A4DC3"/>
    <w:rsid w:val="002A7B7B"/>
    <w:rsid w:val="002B2814"/>
    <w:rsid w:val="002C24AC"/>
    <w:rsid w:val="002C7910"/>
    <w:rsid w:val="002E0D6C"/>
    <w:rsid w:val="002E595E"/>
    <w:rsid w:val="002F3CA7"/>
    <w:rsid w:val="002F42D0"/>
    <w:rsid w:val="00300507"/>
    <w:rsid w:val="00307D6E"/>
    <w:rsid w:val="0032129D"/>
    <w:rsid w:val="00323DE8"/>
    <w:rsid w:val="003350DF"/>
    <w:rsid w:val="0035797F"/>
    <w:rsid w:val="00364105"/>
    <w:rsid w:val="00385B5D"/>
    <w:rsid w:val="00386758"/>
    <w:rsid w:val="00391CC8"/>
    <w:rsid w:val="003B6FCF"/>
    <w:rsid w:val="003C2DA4"/>
    <w:rsid w:val="003C51AE"/>
    <w:rsid w:val="003D5028"/>
    <w:rsid w:val="003E28C9"/>
    <w:rsid w:val="0040382A"/>
    <w:rsid w:val="004070B6"/>
    <w:rsid w:val="00407326"/>
    <w:rsid w:val="004119C6"/>
    <w:rsid w:val="00420457"/>
    <w:rsid w:val="004325CA"/>
    <w:rsid w:val="00451474"/>
    <w:rsid w:val="004541CC"/>
    <w:rsid w:val="00455711"/>
    <w:rsid w:val="00456F67"/>
    <w:rsid w:val="00460C08"/>
    <w:rsid w:val="00460CA4"/>
    <w:rsid w:val="00467927"/>
    <w:rsid w:val="00467DB6"/>
    <w:rsid w:val="004802EE"/>
    <w:rsid w:val="0048188A"/>
    <w:rsid w:val="00490565"/>
    <w:rsid w:val="00496E40"/>
    <w:rsid w:val="004A27E5"/>
    <w:rsid w:val="004A2C16"/>
    <w:rsid w:val="004A408E"/>
    <w:rsid w:val="004B229D"/>
    <w:rsid w:val="004B44F5"/>
    <w:rsid w:val="004C20C6"/>
    <w:rsid w:val="004C2D1C"/>
    <w:rsid w:val="004C507F"/>
    <w:rsid w:val="004D0BA9"/>
    <w:rsid w:val="004D1002"/>
    <w:rsid w:val="004D1A9D"/>
    <w:rsid w:val="004E33E3"/>
    <w:rsid w:val="004F2C96"/>
    <w:rsid w:val="00511283"/>
    <w:rsid w:val="00521D5C"/>
    <w:rsid w:val="00526167"/>
    <w:rsid w:val="00540305"/>
    <w:rsid w:val="00553722"/>
    <w:rsid w:val="005553A6"/>
    <w:rsid w:val="005650E5"/>
    <w:rsid w:val="00566684"/>
    <w:rsid w:val="00571277"/>
    <w:rsid w:val="00586BE8"/>
    <w:rsid w:val="00591250"/>
    <w:rsid w:val="00594B3F"/>
    <w:rsid w:val="005A07A6"/>
    <w:rsid w:val="005A10D5"/>
    <w:rsid w:val="005B296C"/>
    <w:rsid w:val="005B7334"/>
    <w:rsid w:val="005C5E36"/>
    <w:rsid w:val="005D6F69"/>
    <w:rsid w:val="005E2815"/>
    <w:rsid w:val="0061167C"/>
    <w:rsid w:val="006654C7"/>
    <w:rsid w:val="00666ED6"/>
    <w:rsid w:val="00670EA9"/>
    <w:rsid w:val="006840BE"/>
    <w:rsid w:val="00691244"/>
    <w:rsid w:val="006D52D0"/>
    <w:rsid w:val="006E41E8"/>
    <w:rsid w:val="006E591E"/>
    <w:rsid w:val="006F31D4"/>
    <w:rsid w:val="006F3C3D"/>
    <w:rsid w:val="00704119"/>
    <w:rsid w:val="007067A6"/>
    <w:rsid w:val="00712AC5"/>
    <w:rsid w:val="00722AD9"/>
    <w:rsid w:val="00725ED9"/>
    <w:rsid w:val="00731741"/>
    <w:rsid w:val="00735D9B"/>
    <w:rsid w:val="00777313"/>
    <w:rsid w:val="00782028"/>
    <w:rsid w:val="00790933"/>
    <w:rsid w:val="00790F6A"/>
    <w:rsid w:val="00792374"/>
    <w:rsid w:val="007A4AB7"/>
    <w:rsid w:val="007A60CF"/>
    <w:rsid w:val="007A6A93"/>
    <w:rsid w:val="007C7BB8"/>
    <w:rsid w:val="007E0EF9"/>
    <w:rsid w:val="007E180A"/>
    <w:rsid w:val="007E274B"/>
    <w:rsid w:val="008052C9"/>
    <w:rsid w:val="008145DA"/>
    <w:rsid w:val="0081468E"/>
    <w:rsid w:val="0081612F"/>
    <w:rsid w:val="00822073"/>
    <w:rsid w:val="00851812"/>
    <w:rsid w:val="00857A3A"/>
    <w:rsid w:val="00860037"/>
    <w:rsid w:val="00864E98"/>
    <w:rsid w:val="00866787"/>
    <w:rsid w:val="00866CF2"/>
    <w:rsid w:val="00872A4C"/>
    <w:rsid w:val="008858FD"/>
    <w:rsid w:val="008A18B2"/>
    <w:rsid w:val="008A4D30"/>
    <w:rsid w:val="008B2041"/>
    <w:rsid w:val="008C7577"/>
    <w:rsid w:val="008D760E"/>
    <w:rsid w:val="008E6A5C"/>
    <w:rsid w:val="008E6C54"/>
    <w:rsid w:val="008E7EF0"/>
    <w:rsid w:val="008F09BD"/>
    <w:rsid w:val="009007B4"/>
    <w:rsid w:val="00901F7E"/>
    <w:rsid w:val="00913513"/>
    <w:rsid w:val="00916569"/>
    <w:rsid w:val="009371A8"/>
    <w:rsid w:val="00942157"/>
    <w:rsid w:val="00942900"/>
    <w:rsid w:val="009473C9"/>
    <w:rsid w:val="00955325"/>
    <w:rsid w:val="00956525"/>
    <w:rsid w:val="00971E9F"/>
    <w:rsid w:val="009856AD"/>
    <w:rsid w:val="00993E14"/>
    <w:rsid w:val="009B23ED"/>
    <w:rsid w:val="009C00FD"/>
    <w:rsid w:val="009C3AD5"/>
    <w:rsid w:val="009C3BF4"/>
    <w:rsid w:val="009C5EFF"/>
    <w:rsid w:val="009D73CB"/>
    <w:rsid w:val="009E2FE3"/>
    <w:rsid w:val="009E7A96"/>
    <w:rsid w:val="00A0403E"/>
    <w:rsid w:val="00A070D9"/>
    <w:rsid w:val="00A43F60"/>
    <w:rsid w:val="00A475D7"/>
    <w:rsid w:val="00A4796B"/>
    <w:rsid w:val="00A51E6B"/>
    <w:rsid w:val="00A5434C"/>
    <w:rsid w:val="00A6695D"/>
    <w:rsid w:val="00A67A01"/>
    <w:rsid w:val="00A76A13"/>
    <w:rsid w:val="00A833A0"/>
    <w:rsid w:val="00A858CD"/>
    <w:rsid w:val="00A974A3"/>
    <w:rsid w:val="00AA47B9"/>
    <w:rsid w:val="00AC395D"/>
    <w:rsid w:val="00AC3E9D"/>
    <w:rsid w:val="00AC3F33"/>
    <w:rsid w:val="00AC616A"/>
    <w:rsid w:val="00AC6BF9"/>
    <w:rsid w:val="00AE4F1A"/>
    <w:rsid w:val="00AF65F9"/>
    <w:rsid w:val="00AF7759"/>
    <w:rsid w:val="00AF7E84"/>
    <w:rsid w:val="00B01541"/>
    <w:rsid w:val="00B01873"/>
    <w:rsid w:val="00B02461"/>
    <w:rsid w:val="00B06141"/>
    <w:rsid w:val="00B0737F"/>
    <w:rsid w:val="00B07A42"/>
    <w:rsid w:val="00B14931"/>
    <w:rsid w:val="00B216E6"/>
    <w:rsid w:val="00B4514B"/>
    <w:rsid w:val="00B569D8"/>
    <w:rsid w:val="00B771F6"/>
    <w:rsid w:val="00B77B11"/>
    <w:rsid w:val="00BA3B38"/>
    <w:rsid w:val="00BB354F"/>
    <w:rsid w:val="00BB5967"/>
    <w:rsid w:val="00BB7651"/>
    <w:rsid w:val="00BC1EAD"/>
    <w:rsid w:val="00BC2692"/>
    <w:rsid w:val="00BD2A86"/>
    <w:rsid w:val="00BD39E3"/>
    <w:rsid w:val="00BD5B77"/>
    <w:rsid w:val="00BF47E6"/>
    <w:rsid w:val="00C31D1D"/>
    <w:rsid w:val="00C61EC6"/>
    <w:rsid w:val="00C61F7B"/>
    <w:rsid w:val="00C73343"/>
    <w:rsid w:val="00C97694"/>
    <w:rsid w:val="00CA32A6"/>
    <w:rsid w:val="00CA4556"/>
    <w:rsid w:val="00CA474E"/>
    <w:rsid w:val="00CC1DF5"/>
    <w:rsid w:val="00CC1E78"/>
    <w:rsid w:val="00CC538A"/>
    <w:rsid w:val="00CD16F3"/>
    <w:rsid w:val="00CD1932"/>
    <w:rsid w:val="00CD1F2E"/>
    <w:rsid w:val="00CD7999"/>
    <w:rsid w:val="00CE59CC"/>
    <w:rsid w:val="00D13CB2"/>
    <w:rsid w:val="00D17033"/>
    <w:rsid w:val="00D21709"/>
    <w:rsid w:val="00D27543"/>
    <w:rsid w:val="00D3635B"/>
    <w:rsid w:val="00D3661E"/>
    <w:rsid w:val="00D41684"/>
    <w:rsid w:val="00D506CF"/>
    <w:rsid w:val="00D71EB4"/>
    <w:rsid w:val="00D75406"/>
    <w:rsid w:val="00D76C16"/>
    <w:rsid w:val="00D822C0"/>
    <w:rsid w:val="00D876A8"/>
    <w:rsid w:val="00DA27E6"/>
    <w:rsid w:val="00DB1C85"/>
    <w:rsid w:val="00DB373F"/>
    <w:rsid w:val="00DB64DF"/>
    <w:rsid w:val="00DC2876"/>
    <w:rsid w:val="00DC6130"/>
    <w:rsid w:val="00DD2EB8"/>
    <w:rsid w:val="00DE64F6"/>
    <w:rsid w:val="00DE68DB"/>
    <w:rsid w:val="00DF176E"/>
    <w:rsid w:val="00E01759"/>
    <w:rsid w:val="00E01A57"/>
    <w:rsid w:val="00E11717"/>
    <w:rsid w:val="00E14B4B"/>
    <w:rsid w:val="00E27A81"/>
    <w:rsid w:val="00E315AD"/>
    <w:rsid w:val="00E332AD"/>
    <w:rsid w:val="00E42373"/>
    <w:rsid w:val="00E4239E"/>
    <w:rsid w:val="00E55EB1"/>
    <w:rsid w:val="00E560BF"/>
    <w:rsid w:val="00E56D24"/>
    <w:rsid w:val="00E57107"/>
    <w:rsid w:val="00E93173"/>
    <w:rsid w:val="00EA7172"/>
    <w:rsid w:val="00EC11FF"/>
    <w:rsid w:val="00EC652B"/>
    <w:rsid w:val="00ED0C0D"/>
    <w:rsid w:val="00EE25F0"/>
    <w:rsid w:val="00EE3355"/>
    <w:rsid w:val="00EE5078"/>
    <w:rsid w:val="00F051AA"/>
    <w:rsid w:val="00F17AEC"/>
    <w:rsid w:val="00F23AB7"/>
    <w:rsid w:val="00F43852"/>
    <w:rsid w:val="00F44016"/>
    <w:rsid w:val="00F571DE"/>
    <w:rsid w:val="00F6539F"/>
    <w:rsid w:val="00F6790A"/>
    <w:rsid w:val="00F764B7"/>
    <w:rsid w:val="00F771E5"/>
    <w:rsid w:val="00F949F8"/>
    <w:rsid w:val="00F94B93"/>
    <w:rsid w:val="00FA3D94"/>
    <w:rsid w:val="00FA50BC"/>
    <w:rsid w:val="00FA5EED"/>
    <w:rsid w:val="00FB1FA3"/>
    <w:rsid w:val="00FB6C5C"/>
    <w:rsid w:val="00FC0F2F"/>
    <w:rsid w:val="00FC6A82"/>
    <w:rsid w:val="00FD7DD9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A"/>
    <w:rPr>
      <w:sz w:val="24"/>
    </w:rPr>
  </w:style>
  <w:style w:type="paragraph" w:styleId="Overskrift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link w:val="TopptekstTegn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2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OverskriftT">
    <w:name w:val="Overskrift T"/>
    <w:basedOn w:val="Normal"/>
    <w:next w:val="BrdtekstT"/>
    <w:link w:val="OverskriftTTegn"/>
    <w:qFormat/>
    <w:rsid w:val="00777313"/>
    <w:pPr>
      <w:numPr>
        <w:numId w:val="2"/>
      </w:numPr>
    </w:pPr>
    <w:rPr>
      <w:b/>
      <w:bCs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OverskriftTTegn">
    <w:name w:val="Overskrift T Tegn"/>
    <w:basedOn w:val="Standardskriftforavsnitt"/>
    <w:link w:val="OverskriftT"/>
    <w:rsid w:val="00777313"/>
    <w:rPr>
      <w:b/>
      <w:bCs/>
      <w:sz w:val="24"/>
    </w:rPr>
  </w:style>
  <w:style w:type="character" w:customStyle="1" w:styleId="BrdtekstTTegn">
    <w:name w:val="Brødtekst T Tegn"/>
    <w:basedOn w:val="Standardskriftforavsnitt"/>
    <w:link w:val="BrdtekstT"/>
    <w:rsid w:val="00777313"/>
    <w:rPr>
      <w:color w:val="595959"/>
      <w:sz w:val="24"/>
    </w:rPr>
  </w:style>
  <w:style w:type="character" w:styleId="Merknadsreferanse">
    <w:name w:val="annotation reference"/>
    <w:basedOn w:val="Standardskriftforavsnitt"/>
    <w:rsid w:val="00DC613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C61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C6130"/>
  </w:style>
  <w:style w:type="paragraph" w:styleId="Kommentaremne">
    <w:name w:val="annotation subject"/>
    <w:basedOn w:val="Merknadstekst"/>
    <w:next w:val="Merknadstekst"/>
    <w:link w:val="KommentaremneTegn"/>
    <w:rsid w:val="00DC613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C6130"/>
    <w:rPr>
      <w:b/>
      <w:bCs/>
    </w:rPr>
  </w:style>
  <w:style w:type="paragraph" w:styleId="Revisjon">
    <w:name w:val="Revision"/>
    <w:hidden/>
    <w:uiPriority w:val="99"/>
    <w:semiHidden/>
    <w:rsid w:val="00DC6130"/>
    <w:rPr>
      <w:sz w:val="24"/>
    </w:rPr>
  </w:style>
  <w:style w:type="character" w:styleId="Hyperkobling">
    <w:name w:val="Hyperlink"/>
    <w:basedOn w:val="Standardskriftforavsnitt"/>
    <w:rsid w:val="00866CF2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40382A"/>
    <w:rPr>
      <w:rFonts w:ascii="Arial" w:hAnsi="Arial"/>
      <w:b/>
      <w:kern w:val="28"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3641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skaffelser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skaffelser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kaffelser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skaffelser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skaffelser.no" TargetMode="External"/><Relationship Id="rId14" Type="http://schemas.openxmlformats.org/officeDocument/2006/relationships/hyperlink" Target="http://www.anskaffelser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6B87-477C-4A66-96B2-C0F7973B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3752</Characters>
  <Application>Microsoft Office Word</Application>
  <DocSecurity>4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2019-11-27T13:31:00Z</dcterms:created>
  <dcterms:modified xsi:type="dcterms:W3CDTF">2019-11-27T13:31:00Z</dcterms:modified>
</cp:coreProperties>
</file>